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22AF2" w14:textId="77777777" w:rsidR="004D2FFA" w:rsidRDefault="004D2FFA" w:rsidP="004D2FFA">
      <w:pPr>
        <w:jc w:val="center"/>
      </w:pPr>
      <w:r w:rsidRPr="004D2FFA">
        <w:rPr>
          <w:b/>
          <w:bCs/>
        </w:rPr>
        <w:t>Nota esplicativa</w:t>
      </w:r>
    </w:p>
    <w:p w14:paraId="2692585E" w14:textId="53BD1B6E" w:rsidR="00A27D6D" w:rsidRPr="004D2FFA" w:rsidRDefault="004D2FFA">
      <w:pPr>
        <w:rPr>
          <w:b/>
          <w:bCs/>
        </w:rPr>
      </w:pPr>
      <w:r>
        <w:t xml:space="preserve"> in merito all’ordinanza del Presidente della Giunta Regionale delle Marche n. 1 del 25.02.2020 concernente “</w:t>
      </w:r>
      <w:r w:rsidRPr="004D2FFA">
        <w:rPr>
          <w:b/>
          <w:bCs/>
        </w:rPr>
        <w:t>Misura in materia di contenimento e gestione dell’emerge</w:t>
      </w:r>
      <w:bookmarkStart w:id="0" w:name="_GoBack"/>
      <w:bookmarkEnd w:id="0"/>
      <w:r w:rsidRPr="004D2FFA">
        <w:rPr>
          <w:b/>
          <w:bCs/>
        </w:rPr>
        <w:t>nza epidemiologica da COVID-19”</w:t>
      </w:r>
    </w:p>
    <w:sectPr w:rsidR="00A27D6D" w:rsidRPr="004D2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BF"/>
    <w:rsid w:val="004D2FFA"/>
    <w:rsid w:val="00546ABF"/>
    <w:rsid w:val="00A2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00F0"/>
  <w15:chartTrackingRefBased/>
  <w15:docId w15:val="{81F4D470-F346-433E-9844-0623F1B7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</cp:lastModifiedBy>
  <cp:revision>2</cp:revision>
  <dcterms:created xsi:type="dcterms:W3CDTF">2020-02-27T14:23:00Z</dcterms:created>
  <dcterms:modified xsi:type="dcterms:W3CDTF">2020-02-27T14:25:00Z</dcterms:modified>
</cp:coreProperties>
</file>